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9E" w:rsidRPr="00FD1A28" w:rsidRDefault="008E05B0" w:rsidP="008E05B0">
      <w:pPr>
        <w:spacing w:after="278" w:line="225" w:lineRule="auto"/>
        <w:ind w:left="0" w:right="0" w:firstLine="0"/>
        <w:rPr>
          <w:b/>
          <w:color w:val="385623" w:themeColor="accent6" w:themeShade="80"/>
        </w:rPr>
      </w:pPr>
      <w:r w:rsidRPr="00FD1A28">
        <w:rPr>
          <w:b/>
          <w:color w:val="385623" w:themeColor="accent6" w:themeShade="80"/>
        </w:rPr>
        <w:t xml:space="preserve">  </w:t>
      </w:r>
      <w:r w:rsidRPr="00FD1A28">
        <w:rPr>
          <w:b/>
          <w:color w:val="385623" w:themeColor="accent6" w:themeShade="80"/>
          <w:sz w:val="30"/>
        </w:rPr>
        <w:t xml:space="preserve"> </w:t>
      </w:r>
      <w:r w:rsidR="007164B9" w:rsidRPr="00FD1A28">
        <w:rPr>
          <w:b/>
          <w:color w:val="385623" w:themeColor="accent6" w:themeShade="80"/>
          <w:sz w:val="30"/>
        </w:rPr>
        <w:t>«Алгоритм действий» для родителей по выявлению детей, подвергающихся воздействию в группах и сообществах в сети «Интернет» деструктивной направленности, пропагандирующих асоциальное поведение, антигуманные принципы, поощряющие суицид, экстремистские проявл</w:t>
      </w:r>
      <w:r w:rsidR="007164B9" w:rsidRPr="00FD1A28">
        <w:rPr>
          <w:b/>
          <w:color w:val="385623" w:themeColor="accent6" w:themeShade="80"/>
          <w:sz w:val="30"/>
        </w:rPr>
        <w:t>ения</w:t>
      </w:r>
    </w:p>
    <w:p w:rsidR="008E05B0" w:rsidRDefault="007164B9" w:rsidP="008E05B0">
      <w:pPr>
        <w:spacing w:after="0" w:line="240" w:lineRule="auto"/>
        <w:ind w:left="21" w:right="54"/>
      </w:pPr>
      <w:r>
        <w:t>Первое, что должно насторожить родителей, — резкие изменения в поведении подростка, которые происходят вслед за изменением мышления и мировоззрения. Например, если ребенок всегда был активным, а в последнее время стал замыкаться в себе, сделался молча</w:t>
      </w:r>
      <w:r>
        <w:t>ливым. Или, наоборот, был задумчивым, а стал несвойственно многоречивым.</w:t>
      </w:r>
    </w:p>
    <w:p w:rsidR="00CE2F9E" w:rsidRDefault="007164B9" w:rsidP="008E05B0">
      <w:pPr>
        <w:spacing w:after="0" w:line="240" w:lineRule="auto"/>
        <w:ind w:left="21" w:right="5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EEB6AD" wp14:editId="75E2C0DE">
            <wp:simplePos x="0" y="0"/>
            <wp:positionH relativeFrom="page">
              <wp:posOffset>3012948</wp:posOffset>
            </wp:positionH>
            <wp:positionV relativeFrom="page">
              <wp:posOffset>9889236</wp:posOffset>
            </wp:positionV>
            <wp:extent cx="4572" cy="484632"/>
            <wp:effectExtent l="0" t="0" r="0" b="0"/>
            <wp:wrapTopAndBottom/>
            <wp:docPr id="1668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 не обязательно значит, что подросток вынашивает идеи суицида, но это повод обратить на него особенное внимание. Такие резкие изменения могут быть признаками развивающейся депресс</w:t>
      </w:r>
      <w:r>
        <w:t>ии. Также обратите внимание: не происходит ли нарушение сна, питания, может, резко изменилась успеваемость в школе.</w:t>
      </w:r>
    </w:p>
    <w:p w:rsidR="00CE2F9E" w:rsidRDefault="007164B9" w:rsidP="008E05B0">
      <w:pPr>
        <w:spacing w:after="0"/>
        <w:ind w:left="21" w:right="54"/>
      </w:pPr>
      <w:r>
        <w:t>Другими признаками деструктивного общения в интернет-среде может стать большое количество времени, проводимое ребенком в социальных сетях; р</w:t>
      </w:r>
      <w:r>
        <w:t>аздражительность и агрессия в случае, если родители вводят ограничения на пользование компьютером; утрата интереса к другим увлечениям — чтению, спорту, играм; появление скрытности и замкнутости в поведении.</w:t>
      </w:r>
    </w:p>
    <w:p w:rsidR="00CE2F9E" w:rsidRPr="00FD1A28" w:rsidRDefault="007164B9" w:rsidP="008E05B0">
      <w:pPr>
        <w:spacing w:after="0" w:line="225" w:lineRule="auto"/>
        <w:ind w:left="24" w:right="0" w:hanging="10"/>
        <w:rPr>
          <w:b/>
          <w:color w:val="385623" w:themeColor="accent6" w:themeShade="80"/>
          <w:szCs w:val="28"/>
        </w:rPr>
      </w:pPr>
      <w:r w:rsidRPr="00FD1A28">
        <w:rPr>
          <w:b/>
          <w:color w:val="385623" w:themeColor="accent6" w:themeShade="80"/>
          <w:szCs w:val="28"/>
        </w:rPr>
        <w:t>Что Вас должно насторожить!</w:t>
      </w:r>
    </w:p>
    <w:p w:rsidR="00CE2F9E" w:rsidRPr="008E05B0" w:rsidRDefault="007164B9" w:rsidP="008E05B0">
      <w:pPr>
        <w:spacing w:after="0" w:line="259" w:lineRule="auto"/>
        <w:ind w:left="21" w:right="46" w:firstLine="4"/>
        <w:rPr>
          <w:szCs w:val="28"/>
        </w:rPr>
      </w:pPr>
      <w:r w:rsidRPr="008E05B0">
        <w:rPr>
          <w:szCs w:val="28"/>
        </w:rPr>
        <w:t>— Стремление к риско</w:t>
      </w:r>
      <w:r w:rsidRPr="008E05B0">
        <w:rPr>
          <w:szCs w:val="28"/>
        </w:rPr>
        <w:t>ванным Действиям, отрицание проблем.</w:t>
      </w:r>
    </w:p>
    <w:p w:rsidR="00CE2F9E" w:rsidRPr="008E05B0" w:rsidRDefault="007164B9" w:rsidP="008E05B0">
      <w:pPr>
        <w:spacing w:after="0" w:line="259" w:lineRule="auto"/>
        <w:ind w:left="21" w:right="46" w:firstLine="4"/>
        <w:rPr>
          <w:szCs w:val="28"/>
        </w:rPr>
      </w:pPr>
      <w:r w:rsidRPr="008E05B0">
        <w:rPr>
          <w:szCs w:val="28"/>
        </w:rPr>
        <w:t>— Снижение успеваемости, пропуск занятий, невыполнение Домашних заданий.</w:t>
      </w:r>
    </w:p>
    <w:p w:rsidR="00CE2F9E" w:rsidRPr="008E05B0" w:rsidRDefault="008E05B0" w:rsidP="008E05B0">
      <w:pPr>
        <w:spacing w:after="0" w:line="259" w:lineRule="auto"/>
        <w:ind w:left="21" w:right="46" w:firstLine="4"/>
        <w:rPr>
          <w:szCs w:val="28"/>
        </w:rPr>
      </w:pPr>
      <w:r>
        <w:rPr>
          <w:szCs w:val="28"/>
        </w:rPr>
        <w:t>— Приведение в поряд</w:t>
      </w:r>
      <w:r w:rsidR="007164B9" w:rsidRPr="008E05B0">
        <w:rPr>
          <w:szCs w:val="28"/>
        </w:rPr>
        <w:t>ок дел, примирение с Давними врагами.</w:t>
      </w:r>
    </w:p>
    <w:p w:rsidR="00CE2F9E" w:rsidRPr="008E05B0" w:rsidRDefault="007164B9" w:rsidP="008E05B0">
      <w:pPr>
        <w:spacing w:after="0" w:line="259" w:lineRule="auto"/>
        <w:ind w:left="21" w:right="46" w:firstLine="4"/>
        <w:rPr>
          <w:szCs w:val="28"/>
        </w:rPr>
      </w:pPr>
      <w:r w:rsidRPr="008E05B0">
        <w:rPr>
          <w:szCs w:val="28"/>
        </w:rPr>
        <w:t>—Символическое прощание с ближайшим окружением (раздача личных вещей, фотографий, создан</w:t>
      </w:r>
      <w:r w:rsidR="00FD1A28">
        <w:rPr>
          <w:szCs w:val="28"/>
        </w:rPr>
        <w:t>ие и д</w:t>
      </w:r>
      <w:r w:rsidRPr="008E05B0">
        <w:rPr>
          <w:szCs w:val="28"/>
        </w:rPr>
        <w:t>емонстрация ролика, по</w:t>
      </w:r>
      <w:r w:rsidR="00FD1A28">
        <w:rPr>
          <w:szCs w:val="28"/>
        </w:rPr>
        <w:t>священного Друзьям и близким); д</w:t>
      </w:r>
      <w:r w:rsidRPr="008E05B0">
        <w:rPr>
          <w:szCs w:val="28"/>
        </w:rPr>
        <w:t>арение Другим вещей, имеющих большую личную значимость.</w:t>
      </w:r>
    </w:p>
    <w:p w:rsidR="00CE2F9E" w:rsidRDefault="007164B9" w:rsidP="008E05B0">
      <w:pPr>
        <w:numPr>
          <w:ilvl w:val="0"/>
          <w:numId w:val="1"/>
        </w:numPr>
        <w:spacing w:after="0"/>
        <w:ind w:right="54" w:firstLine="7"/>
      </w:pPr>
      <w:r>
        <w:t xml:space="preserve">Попытка </w:t>
      </w:r>
      <w:r w:rsidR="008E05B0">
        <w:t>уед</w:t>
      </w:r>
      <w:r w:rsidRPr="008E05B0">
        <w:t>иниться:</w:t>
      </w:r>
      <w:r>
        <w:t xml:space="preserve"> закрыться в </w:t>
      </w:r>
      <w:r w:rsidR="00FD1A28">
        <w:t>комнате, убежать и скрыться от д</w:t>
      </w:r>
      <w:r>
        <w:t>рузей (при наличии Других настораживающих признаков).</w:t>
      </w:r>
    </w:p>
    <w:p w:rsidR="00CE2F9E" w:rsidRPr="007164B9" w:rsidRDefault="007164B9" w:rsidP="008E05B0">
      <w:pPr>
        <w:spacing w:after="0" w:line="259" w:lineRule="auto"/>
        <w:ind w:left="21" w:right="378" w:firstLine="4"/>
        <w:rPr>
          <w:szCs w:val="28"/>
        </w:rPr>
      </w:pPr>
      <w:r w:rsidRPr="007164B9">
        <w:rPr>
          <w:szCs w:val="28"/>
        </w:rPr>
        <w:t>— Высказывания о нежел</w:t>
      </w:r>
      <w:r w:rsidRPr="007164B9">
        <w:rPr>
          <w:szCs w:val="28"/>
        </w:rPr>
        <w:t>ании жить: «Было бы лучше умереть», «Не хочу больше жить», «Я больше не буду ни для кого проблемой», «Тебе больше не придётся обо мне волноваться», «Мне нельзя помочь».</w:t>
      </w:r>
    </w:p>
    <w:p w:rsidR="00CE2F9E" w:rsidRDefault="007164B9" w:rsidP="008E05B0">
      <w:pPr>
        <w:spacing w:after="0"/>
        <w:ind w:left="21" w:right="54" w:firstLine="626"/>
      </w:pPr>
      <w:r>
        <w:t>Нужно определить какие сайты посещает Ваш ребенок. Для этого нужно отследить историю по</w:t>
      </w:r>
      <w:r>
        <w:t>сещений. В разных интернет-браузерах это делается по-разному</w:t>
      </w:r>
      <w:r>
        <w:t>, но отличия небольшие.</w:t>
      </w: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  <w:bookmarkStart w:id="0" w:name="_GoBack"/>
      <w:bookmarkEnd w:id="0"/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FD1A28" w:rsidRDefault="00FD1A28" w:rsidP="008E05B0">
      <w:pPr>
        <w:spacing w:after="317" w:line="225" w:lineRule="auto"/>
        <w:ind w:left="122" w:right="155" w:firstLine="0"/>
        <w:rPr>
          <w:b/>
          <w:sz w:val="30"/>
        </w:rPr>
      </w:pPr>
    </w:p>
    <w:p w:rsidR="00CE2F9E" w:rsidRDefault="007164B9">
      <w:pPr>
        <w:spacing w:after="0" w:line="259" w:lineRule="auto"/>
        <w:ind w:left="568" w:right="0" w:firstLine="0"/>
        <w:jc w:val="left"/>
      </w:pPr>
      <w:r>
        <w:rPr>
          <w:noProof/>
        </w:rPr>
        <w:drawing>
          <wp:inline distT="0" distB="0" distL="0" distR="0">
            <wp:extent cx="13392" cy="379529"/>
            <wp:effectExtent l="0" t="0" r="0" b="0"/>
            <wp:docPr id="28104" name="Picture 28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" name="Picture 28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2" cy="37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B0" w:rsidRDefault="008E05B0" w:rsidP="008E05B0">
      <w:pPr>
        <w:spacing w:after="311" w:line="232" w:lineRule="auto"/>
        <w:ind w:left="158" w:right="213" w:firstLine="0"/>
        <w:jc w:val="left"/>
        <w:rPr>
          <w:sz w:val="30"/>
        </w:rPr>
      </w:pPr>
    </w:p>
    <w:p w:rsidR="008E05B0" w:rsidRDefault="008E05B0" w:rsidP="008E05B0">
      <w:pPr>
        <w:spacing w:after="311" w:line="232" w:lineRule="auto"/>
        <w:ind w:left="158" w:right="213" w:firstLine="0"/>
        <w:jc w:val="left"/>
        <w:rPr>
          <w:sz w:val="30"/>
        </w:rPr>
      </w:pPr>
    </w:p>
    <w:p w:rsidR="008E05B0" w:rsidRDefault="008E05B0" w:rsidP="008E05B0">
      <w:pPr>
        <w:spacing w:after="311" w:line="232" w:lineRule="auto"/>
        <w:ind w:left="158" w:right="213" w:firstLine="0"/>
        <w:jc w:val="left"/>
        <w:rPr>
          <w:sz w:val="30"/>
        </w:rPr>
      </w:pPr>
    </w:p>
    <w:p w:rsidR="008E05B0" w:rsidRDefault="008E05B0" w:rsidP="008E05B0">
      <w:pPr>
        <w:spacing w:after="311" w:line="232" w:lineRule="auto"/>
        <w:ind w:left="158" w:right="213" w:firstLine="0"/>
        <w:jc w:val="left"/>
        <w:rPr>
          <w:sz w:val="30"/>
        </w:rPr>
      </w:pPr>
      <w:r>
        <w:rPr>
          <w:sz w:val="30"/>
        </w:rPr>
        <w:t xml:space="preserve">     </w:t>
      </w:r>
    </w:p>
    <w:p w:rsidR="00CE2F9E" w:rsidRDefault="007164B9">
      <w:pPr>
        <w:spacing w:after="0" w:line="259" w:lineRule="auto"/>
        <w:ind w:left="389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2171700" cy="7237476"/>
            <wp:effectExtent l="0" t="0" r="0" b="0"/>
            <wp:docPr id="46412" name="Picture 46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2" name="Picture 464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23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F9E">
      <w:pgSz w:w="11902" w:h="16834"/>
      <w:pgMar w:top="814" w:right="752" w:bottom="619" w:left="9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618" o:spid="_x0000_i1063" style="width:1.5pt;height:.75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numPicBullet w:numPicBulletId="1">
    <w:pict>
      <v:shape id="_x0000_i1064" style="width:.75pt;height:.75pt" coordsize="" o:spt="100" o:bullet="t" adj="0,,0" path="" stroked="f">
        <v:stroke joinstyle="miter"/>
        <v:imagedata r:id="rId2" o:title="image24"/>
        <v:formulas/>
        <v:path o:connecttype="segments"/>
      </v:shape>
    </w:pict>
  </w:numPicBullet>
  <w:abstractNum w:abstractNumId="0" w15:restartNumberingAfterBreak="0">
    <w:nsid w:val="1023369D"/>
    <w:multiLevelType w:val="hybridMultilevel"/>
    <w:tmpl w:val="E1E6C040"/>
    <w:lvl w:ilvl="0" w:tplc="F3E8B864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F6F230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C269C14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E2DA04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B6375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B8CCA6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DBE4B38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782D58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0EE15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F058A"/>
    <w:multiLevelType w:val="hybridMultilevel"/>
    <w:tmpl w:val="4E9625AA"/>
    <w:lvl w:ilvl="0" w:tplc="6B8C4B5C">
      <w:start w:val="1"/>
      <w:numFmt w:val="bullet"/>
      <w:lvlText w:val="•"/>
      <w:lvlPicBulletId w:val="0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1C90FE">
      <w:start w:val="1"/>
      <w:numFmt w:val="bullet"/>
      <w:lvlText w:val="o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32409C">
      <w:start w:val="1"/>
      <w:numFmt w:val="bullet"/>
      <w:lvlText w:val="▪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A4592A">
      <w:start w:val="1"/>
      <w:numFmt w:val="bullet"/>
      <w:lvlText w:val="•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6617C2">
      <w:start w:val="1"/>
      <w:numFmt w:val="bullet"/>
      <w:lvlText w:val="o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21BA0">
      <w:start w:val="1"/>
      <w:numFmt w:val="bullet"/>
      <w:lvlText w:val="▪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4A6E8">
      <w:start w:val="1"/>
      <w:numFmt w:val="bullet"/>
      <w:lvlText w:val="•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1E6A">
      <w:start w:val="1"/>
      <w:numFmt w:val="bullet"/>
      <w:lvlText w:val="o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3C1CBA">
      <w:start w:val="1"/>
      <w:numFmt w:val="bullet"/>
      <w:lvlText w:val="▪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C790C"/>
    <w:multiLevelType w:val="hybridMultilevel"/>
    <w:tmpl w:val="2BAE356E"/>
    <w:lvl w:ilvl="0" w:tplc="433E11E2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74084B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D72C05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686F7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B6C18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6E77F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38433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C620B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1492E4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02458"/>
    <w:multiLevelType w:val="hybridMultilevel"/>
    <w:tmpl w:val="F7A8A454"/>
    <w:lvl w:ilvl="0" w:tplc="C0C83DA4">
      <w:start w:val="1"/>
      <w:numFmt w:val="bullet"/>
      <w:lvlText w:val="•"/>
      <w:lvlPicBulletId w:val="1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26C498">
      <w:start w:val="1"/>
      <w:numFmt w:val="bullet"/>
      <w:lvlText w:val="o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E526A">
      <w:start w:val="1"/>
      <w:numFmt w:val="bullet"/>
      <w:lvlText w:val="▪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C29972">
      <w:start w:val="1"/>
      <w:numFmt w:val="bullet"/>
      <w:lvlText w:val="•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1C15C8">
      <w:start w:val="1"/>
      <w:numFmt w:val="bullet"/>
      <w:lvlText w:val="o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01238">
      <w:start w:val="1"/>
      <w:numFmt w:val="bullet"/>
      <w:lvlText w:val="▪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4A9804">
      <w:start w:val="1"/>
      <w:numFmt w:val="bullet"/>
      <w:lvlText w:val="•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8EA67C">
      <w:start w:val="1"/>
      <w:numFmt w:val="bullet"/>
      <w:lvlText w:val="o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D26AB2">
      <w:start w:val="1"/>
      <w:numFmt w:val="bullet"/>
      <w:lvlText w:val="▪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286E4D"/>
    <w:multiLevelType w:val="hybridMultilevel"/>
    <w:tmpl w:val="BBFE8EF6"/>
    <w:lvl w:ilvl="0" w:tplc="157EEE26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0F1C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AC0AE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9EC79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EBF5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E310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ACE5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CA0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FA08E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97B94"/>
    <w:multiLevelType w:val="hybridMultilevel"/>
    <w:tmpl w:val="39D2BDA8"/>
    <w:lvl w:ilvl="0" w:tplc="480C6CD4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4E882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23D7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C9D1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B8A84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AE4D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78476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C993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CEDF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06B06"/>
    <w:multiLevelType w:val="hybridMultilevel"/>
    <w:tmpl w:val="36B2C83C"/>
    <w:lvl w:ilvl="0" w:tplc="523654CC">
      <w:start w:val="1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EE914">
      <w:start w:val="1"/>
      <w:numFmt w:val="bullet"/>
      <w:lvlText w:val="•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2F7AA068">
      <w:start w:val="1"/>
      <w:numFmt w:val="bullet"/>
      <w:lvlText w:val="▪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E5873DC">
      <w:start w:val="1"/>
      <w:numFmt w:val="bullet"/>
      <w:lvlText w:val="•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260CE4DA">
      <w:start w:val="1"/>
      <w:numFmt w:val="bullet"/>
      <w:lvlText w:val="o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15AC970">
      <w:start w:val="1"/>
      <w:numFmt w:val="bullet"/>
      <w:lvlText w:val="▪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0C0F458">
      <w:start w:val="1"/>
      <w:numFmt w:val="bullet"/>
      <w:lvlText w:val="•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88ACD7FC">
      <w:start w:val="1"/>
      <w:numFmt w:val="bullet"/>
      <w:lvlText w:val="o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6BEE0A2C">
      <w:start w:val="1"/>
      <w:numFmt w:val="bullet"/>
      <w:lvlText w:val="▪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9E"/>
    <w:rsid w:val="007164B9"/>
    <w:rsid w:val="008E05B0"/>
    <w:rsid w:val="00CE2F9E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CD1C"/>
  <w15:docId w15:val="{5417D4A3-C61C-410E-ADE8-4CCD0725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3802" w:right="61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Я</cp:lastModifiedBy>
  <cp:revision>3</cp:revision>
  <dcterms:created xsi:type="dcterms:W3CDTF">2023-02-01T08:46:00Z</dcterms:created>
  <dcterms:modified xsi:type="dcterms:W3CDTF">2023-02-01T08:46:00Z</dcterms:modified>
</cp:coreProperties>
</file>